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2D73" w14:textId="53DCE36D" w:rsidR="00FD3A85" w:rsidRPr="000621CC" w:rsidRDefault="000621CC" w:rsidP="000621CC">
      <w:pPr>
        <w:jc w:val="center"/>
        <w:rPr>
          <w:b/>
          <w:bCs/>
          <w:sz w:val="22"/>
          <w:szCs w:val="22"/>
        </w:rPr>
      </w:pPr>
      <w:r w:rsidRPr="000621CC">
        <w:rPr>
          <w:b/>
          <w:bCs/>
          <w:sz w:val="22"/>
          <w:szCs w:val="22"/>
        </w:rPr>
        <w:t>OxLEP RFQ responses</w:t>
      </w:r>
    </w:p>
    <w:p w14:paraId="5C0DB1AD" w14:textId="75B104B5" w:rsidR="000621CC" w:rsidRPr="000621CC" w:rsidRDefault="000621CC" w:rsidP="000621CC">
      <w:pPr>
        <w:jc w:val="center"/>
        <w:rPr>
          <w:b/>
          <w:bCs/>
          <w:sz w:val="22"/>
          <w:szCs w:val="22"/>
        </w:rPr>
      </w:pPr>
      <w:r w:rsidRPr="000621CC">
        <w:rPr>
          <w:b/>
          <w:bCs/>
          <w:sz w:val="22"/>
          <w:szCs w:val="22"/>
        </w:rPr>
        <w:t>29 March 2022</w:t>
      </w:r>
    </w:p>
    <w:p w14:paraId="230E7B3B" w14:textId="7D9A5A6D" w:rsidR="000621CC" w:rsidRPr="000621CC" w:rsidRDefault="000621CC">
      <w:pPr>
        <w:rPr>
          <w:sz w:val="22"/>
          <w:szCs w:val="22"/>
        </w:rPr>
      </w:pPr>
    </w:p>
    <w:p w14:paraId="33645C38" w14:textId="161C2B52" w:rsidR="000621CC" w:rsidRPr="000621CC" w:rsidRDefault="000621CC" w:rsidP="000621CC">
      <w:pPr>
        <w:pStyle w:val="PlainText"/>
        <w:rPr>
          <w:rFonts w:cs="Arial"/>
          <w:b/>
          <w:bCs/>
          <w:sz w:val="22"/>
          <w:szCs w:val="22"/>
        </w:rPr>
      </w:pPr>
      <w:r w:rsidRPr="000621CC">
        <w:rPr>
          <w:rFonts w:cs="Arial"/>
          <w:b/>
          <w:bCs/>
          <w:sz w:val="22"/>
          <w:szCs w:val="22"/>
        </w:rPr>
        <w:t>Could you please clarify whether you have any additional information on the timeframe for the Visitor Economy grant scheme?</w:t>
      </w:r>
    </w:p>
    <w:p w14:paraId="51B6B703" w14:textId="77777777" w:rsidR="000621CC" w:rsidRPr="000621CC" w:rsidRDefault="000621CC" w:rsidP="000621CC">
      <w:pPr>
        <w:pStyle w:val="PlainText"/>
        <w:rPr>
          <w:rFonts w:cs="Arial"/>
          <w:sz w:val="22"/>
          <w:szCs w:val="22"/>
        </w:rPr>
      </w:pPr>
    </w:p>
    <w:p w14:paraId="726B72C0" w14:textId="13A6A468" w:rsidR="000621CC" w:rsidRPr="000621CC" w:rsidRDefault="000621CC" w:rsidP="000621CC">
      <w:pPr>
        <w:pStyle w:val="ListParagraph"/>
        <w:numPr>
          <w:ilvl w:val="0"/>
          <w:numId w:val="1"/>
        </w:numPr>
        <w:rPr>
          <w:rFonts w:ascii="Arial" w:eastAsia="Times New Roman" w:hAnsi="Arial" w:cs="Arial"/>
          <w:color w:val="000000"/>
          <w:lang w:eastAsia="en-US"/>
        </w:rPr>
      </w:pPr>
      <w:r w:rsidRPr="000621CC">
        <w:rPr>
          <w:rFonts w:ascii="Arial" w:eastAsia="Times New Roman" w:hAnsi="Arial" w:cs="Arial"/>
          <w:color w:val="000000"/>
          <w:lang w:eastAsia="en-US"/>
        </w:rPr>
        <w:t xml:space="preserve">We need to be ready for </w:t>
      </w:r>
      <w:r w:rsidR="000C3F9C" w:rsidRPr="000621CC">
        <w:rPr>
          <w:rFonts w:ascii="Arial" w:eastAsia="Times New Roman" w:hAnsi="Arial" w:cs="Arial"/>
          <w:color w:val="000000"/>
          <w:lang w:eastAsia="en-US"/>
        </w:rPr>
        <w:t>pre-launch</w:t>
      </w:r>
      <w:r w:rsidRPr="000621CC">
        <w:rPr>
          <w:rFonts w:ascii="Arial" w:eastAsia="Times New Roman" w:hAnsi="Arial" w:cs="Arial"/>
          <w:color w:val="000000"/>
          <w:lang w:eastAsia="en-US"/>
        </w:rPr>
        <w:t xml:space="preserve"> </w:t>
      </w:r>
      <w:r w:rsidRPr="000621CC">
        <w:rPr>
          <w:rFonts w:ascii="Arial" w:eastAsia="Times New Roman" w:hAnsi="Arial" w:cs="Arial"/>
          <w:color w:val="000000"/>
          <w:lang w:eastAsia="en-US"/>
        </w:rPr>
        <w:t xml:space="preserve">in </w:t>
      </w:r>
      <w:r w:rsidRPr="000621CC">
        <w:rPr>
          <w:rFonts w:ascii="Arial" w:eastAsia="Times New Roman" w:hAnsi="Arial" w:cs="Arial"/>
          <w:color w:val="000000"/>
          <w:lang w:eastAsia="en-US"/>
        </w:rPr>
        <w:t>July</w:t>
      </w:r>
    </w:p>
    <w:p w14:paraId="1F1E2CCF" w14:textId="77777777" w:rsidR="000621CC" w:rsidRPr="000621CC" w:rsidRDefault="000621CC" w:rsidP="000621CC">
      <w:pPr>
        <w:pStyle w:val="ListParagraph"/>
        <w:numPr>
          <w:ilvl w:val="0"/>
          <w:numId w:val="1"/>
        </w:numPr>
        <w:rPr>
          <w:rFonts w:ascii="Arial" w:eastAsia="Times New Roman" w:hAnsi="Arial" w:cs="Arial"/>
          <w:color w:val="000000"/>
          <w:lang w:eastAsia="en-US"/>
        </w:rPr>
      </w:pPr>
      <w:r w:rsidRPr="000621CC">
        <w:rPr>
          <w:rFonts w:ascii="Arial" w:eastAsia="Times New Roman" w:hAnsi="Arial" w:cs="Arial"/>
          <w:color w:val="000000"/>
          <w:lang w:eastAsia="en-US"/>
        </w:rPr>
        <w:t>Launch 1</w:t>
      </w:r>
      <w:r w:rsidRPr="000621CC">
        <w:rPr>
          <w:rFonts w:ascii="Arial" w:eastAsia="Times New Roman" w:hAnsi="Arial" w:cs="Arial"/>
          <w:color w:val="000000"/>
          <w:vertAlign w:val="superscript"/>
          <w:lang w:eastAsia="en-US"/>
        </w:rPr>
        <w:t>st</w:t>
      </w:r>
      <w:r w:rsidRPr="000621CC">
        <w:rPr>
          <w:rFonts w:ascii="Arial" w:eastAsia="Times New Roman" w:hAnsi="Arial" w:cs="Arial"/>
          <w:color w:val="000000"/>
          <w:lang w:eastAsia="en-US"/>
        </w:rPr>
        <w:t xml:space="preserve"> round October 2022</w:t>
      </w:r>
    </w:p>
    <w:p w14:paraId="63A9BAD1" w14:textId="77777777" w:rsidR="000621CC" w:rsidRPr="000621CC" w:rsidRDefault="000621CC" w:rsidP="000621CC">
      <w:pPr>
        <w:pStyle w:val="ListParagraph"/>
        <w:numPr>
          <w:ilvl w:val="0"/>
          <w:numId w:val="1"/>
        </w:numPr>
        <w:rPr>
          <w:rFonts w:ascii="Arial" w:eastAsia="Times New Roman" w:hAnsi="Arial" w:cs="Arial"/>
          <w:color w:val="000000"/>
          <w:lang w:eastAsia="en-US"/>
        </w:rPr>
      </w:pPr>
      <w:r w:rsidRPr="000621CC">
        <w:rPr>
          <w:rFonts w:ascii="Arial" w:eastAsia="Times New Roman" w:hAnsi="Arial" w:cs="Arial"/>
          <w:color w:val="000000"/>
          <w:lang w:eastAsia="en-US"/>
        </w:rPr>
        <w:t>Launch potential second round in April 2023</w:t>
      </w:r>
    </w:p>
    <w:p w14:paraId="0170D7EB" w14:textId="77777777" w:rsidR="000621CC" w:rsidRPr="000621CC" w:rsidRDefault="000621CC" w:rsidP="000621CC">
      <w:pPr>
        <w:pStyle w:val="ListParagraph"/>
        <w:numPr>
          <w:ilvl w:val="0"/>
          <w:numId w:val="1"/>
        </w:numPr>
        <w:rPr>
          <w:rFonts w:ascii="Arial" w:eastAsia="Times New Roman" w:hAnsi="Arial" w:cs="Arial"/>
          <w:color w:val="000000"/>
          <w:lang w:eastAsia="en-US"/>
        </w:rPr>
      </w:pPr>
      <w:r w:rsidRPr="000621CC">
        <w:rPr>
          <w:rFonts w:ascii="Arial" w:eastAsia="Times New Roman" w:hAnsi="Arial" w:cs="Arial"/>
          <w:color w:val="000000"/>
          <w:lang w:eastAsia="en-US"/>
        </w:rPr>
        <w:t>Potential for this grant scheme to run for 18 months but unlikely</w:t>
      </w:r>
    </w:p>
    <w:p w14:paraId="61180CBD" w14:textId="77777777" w:rsidR="000621CC" w:rsidRPr="000621CC" w:rsidRDefault="000621CC" w:rsidP="000621CC">
      <w:pPr>
        <w:rPr>
          <w:color w:val="000000"/>
          <w:sz w:val="22"/>
          <w:szCs w:val="22"/>
        </w:rPr>
      </w:pPr>
    </w:p>
    <w:p w14:paraId="72AD9B9B" w14:textId="4331C78B" w:rsidR="000621CC" w:rsidRPr="000621CC" w:rsidRDefault="000621CC" w:rsidP="000621CC">
      <w:pPr>
        <w:rPr>
          <w:color w:val="000000"/>
          <w:sz w:val="22"/>
          <w:szCs w:val="22"/>
        </w:rPr>
      </w:pPr>
      <w:r w:rsidRPr="000621CC">
        <w:rPr>
          <w:color w:val="000000"/>
          <w:sz w:val="22"/>
          <w:szCs w:val="22"/>
        </w:rPr>
        <w:t xml:space="preserve">VE grant scheme is still very much </w:t>
      </w:r>
      <w:r w:rsidR="000C3F9C" w:rsidRPr="000621CC">
        <w:rPr>
          <w:color w:val="000000"/>
          <w:sz w:val="22"/>
          <w:szCs w:val="22"/>
        </w:rPr>
        <w:t>high-level</w:t>
      </w:r>
      <w:r w:rsidRPr="000621CC">
        <w:rPr>
          <w:color w:val="000000"/>
          <w:sz w:val="22"/>
          <w:szCs w:val="22"/>
        </w:rPr>
        <w:t xml:space="preserve"> detail at this moment in time.  We’re focussing on the Cherwell ARG scheme initially.</w:t>
      </w:r>
    </w:p>
    <w:p w14:paraId="38D5CC50" w14:textId="44344671" w:rsidR="000621CC" w:rsidRDefault="000621CC" w:rsidP="000621CC">
      <w:pPr>
        <w:shd w:val="clear" w:color="auto" w:fill="FFFFFF"/>
        <w:spacing w:before="100" w:beforeAutospacing="1" w:after="100" w:afterAutospacing="1"/>
        <w:rPr>
          <w:b/>
          <w:bCs/>
          <w:color w:val="242424"/>
          <w:sz w:val="22"/>
          <w:szCs w:val="22"/>
        </w:rPr>
      </w:pPr>
      <w:r w:rsidRPr="000621CC">
        <w:rPr>
          <w:b/>
          <w:bCs/>
          <w:color w:val="242424"/>
          <w:sz w:val="22"/>
          <w:szCs w:val="22"/>
        </w:rPr>
        <w:t>Are there any restrictions on font size for the 10 sides A4 method statement response? </w:t>
      </w:r>
    </w:p>
    <w:p w14:paraId="3DD79CD3" w14:textId="6559C5E7" w:rsidR="000621CC" w:rsidRPr="000621CC" w:rsidRDefault="000621CC" w:rsidP="000621CC">
      <w:pPr>
        <w:shd w:val="clear" w:color="auto" w:fill="FFFFFF"/>
        <w:spacing w:before="100" w:beforeAutospacing="1" w:after="100" w:afterAutospacing="1"/>
        <w:rPr>
          <w:color w:val="242424"/>
          <w:sz w:val="22"/>
          <w:szCs w:val="22"/>
        </w:rPr>
      </w:pPr>
      <w:r w:rsidRPr="000621CC">
        <w:rPr>
          <w:color w:val="242424"/>
          <w:sz w:val="22"/>
          <w:szCs w:val="22"/>
        </w:rPr>
        <w:t>No</w:t>
      </w:r>
    </w:p>
    <w:p w14:paraId="7D0BDA8C" w14:textId="04B58B62" w:rsidR="000621CC" w:rsidRDefault="000621CC" w:rsidP="000621CC">
      <w:pPr>
        <w:shd w:val="clear" w:color="auto" w:fill="FFFFFF"/>
        <w:spacing w:before="100" w:beforeAutospacing="1" w:after="100" w:afterAutospacing="1"/>
        <w:rPr>
          <w:b/>
          <w:bCs/>
          <w:color w:val="242424"/>
          <w:sz w:val="22"/>
          <w:szCs w:val="22"/>
        </w:rPr>
      </w:pPr>
      <w:r w:rsidRPr="000621CC">
        <w:rPr>
          <w:b/>
          <w:bCs/>
          <w:color w:val="242424"/>
          <w:sz w:val="22"/>
          <w:szCs w:val="22"/>
        </w:rPr>
        <w:t xml:space="preserve">We note that Social Value holds 10% of the evaluation criteria weighting, </w:t>
      </w:r>
      <w:r w:rsidR="00981A77" w:rsidRPr="000621CC">
        <w:rPr>
          <w:b/>
          <w:bCs/>
          <w:color w:val="242424"/>
          <w:sz w:val="22"/>
          <w:szCs w:val="22"/>
        </w:rPr>
        <w:t>however,</w:t>
      </w:r>
      <w:r w:rsidRPr="000621CC">
        <w:rPr>
          <w:b/>
          <w:bCs/>
          <w:color w:val="242424"/>
          <w:sz w:val="22"/>
          <w:szCs w:val="22"/>
        </w:rPr>
        <w:t xml:space="preserve"> there does not appear to be a specific question on social value in ‘Section B Method Statement’. Please can you provide a little more clarity on the social value question and exactly what information you are looking for here? </w:t>
      </w:r>
    </w:p>
    <w:p w14:paraId="58B01590" w14:textId="727437A9" w:rsidR="000C3F9C" w:rsidRPr="000621CC" w:rsidRDefault="000C3F9C" w:rsidP="000C3F9C">
      <w:pPr>
        <w:jc w:val="both"/>
        <w:rPr>
          <w:b/>
          <w:bCs/>
          <w:color w:val="242424"/>
          <w:sz w:val="22"/>
          <w:szCs w:val="22"/>
        </w:rPr>
      </w:pPr>
      <w:r w:rsidRPr="000C3F9C">
        <w:rPr>
          <w:rFonts w:eastAsia="Times New Roman"/>
        </w:rPr>
        <w:t>We also ask applicants to consider and evidence</w:t>
      </w:r>
      <w:r>
        <w:rPr>
          <w:rFonts w:eastAsia="Times New Roman"/>
        </w:rPr>
        <w:t xml:space="preserve"> </w:t>
      </w:r>
      <w:r w:rsidRPr="000C3F9C">
        <w:rPr>
          <w:rFonts w:eastAsia="Times New Roman"/>
        </w:rPr>
        <w:t>Social Value</w:t>
      </w:r>
      <w:r>
        <w:rPr>
          <w:rFonts w:eastAsia="Times New Roman"/>
        </w:rPr>
        <w:t xml:space="preserve">. </w:t>
      </w:r>
      <w:r w:rsidR="00AE1BC8">
        <w:t xml:space="preserve">Understanding </w:t>
      </w:r>
      <w:r>
        <w:t xml:space="preserve">of social value </w:t>
      </w:r>
      <w:r w:rsidR="00AE1BC8">
        <w:t>including</w:t>
      </w:r>
      <w:r>
        <w:t xml:space="preserve"> consultants’</w:t>
      </w:r>
      <w:r w:rsidR="00AE1BC8">
        <w:t xml:space="preserve"> </w:t>
      </w:r>
      <w:r>
        <w:t xml:space="preserve">own </w:t>
      </w:r>
      <w:r w:rsidR="00AE1BC8">
        <w:t xml:space="preserve">approach, processes, </w:t>
      </w:r>
      <w:r>
        <w:t xml:space="preserve">expectations of grant applicants, </w:t>
      </w:r>
      <w:r w:rsidR="00AE1BC8">
        <w:t>subcontract arrangement and delivery</w:t>
      </w:r>
      <w:r>
        <w:t xml:space="preserve"> of the grant scheme. </w:t>
      </w:r>
    </w:p>
    <w:p w14:paraId="4ACC239F" w14:textId="5B6C011F" w:rsidR="000621CC" w:rsidRDefault="000621CC" w:rsidP="000621CC">
      <w:pPr>
        <w:shd w:val="clear" w:color="auto" w:fill="FFFFFF"/>
        <w:spacing w:before="100" w:beforeAutospacing="1" w:after="100" w:afterAutospacing="1"/>
        <w:rPr>
          <w:b/>
          <w:bCs/>
          <w:color w:val="242424"/>
          <w:sz w:val="22"/>
          <w:szCs w:val="22"/>
        </w:rPr>
      </w:pPr>
      <w:r w:rsidRPr="000621CC">
        <w:rPr>
          <w:b/>
          <w:bCs/>
          <w:color w:val="242424"/>
          <w:sz w:val="22"/>
          <w:szCs w:val="22"/>
        </w:rPr>
        <w:t>We are a little confused around how to populate the pricing table in a way that arrives at a final tender price. For example, the table asks for ‘day rates’ but there isn’t a column for number of days. The table also asks for ‘Items’ (which we presume means different elements of the grant process/lifecycle) but we often have a number of staff involved in delivering one ‘item’, so producing a day rate per item may leave you a bit confused/unclear. Are bidders allowed to amend the pricing table so that our costs can be presented more clearly (including an itemised budget and staff day rates)? If not, please can you provide an example of how the pricing table in its current format should be populated to arrive at a final tender price?</w:t>
      </w:r>
    </w:p>
    <w:p w14:paraId="5973E4CB" w14:textId="76DB18BD" w:rsidR="000621CC" w:rsidRDefault="000621CC" w:rsidP="000621CC">
      <w:pPr>
        <w:shd w:val="clear" w:color="auto" w:fill="FFFFFF"/>
        <w:spacing w:before="100" w:beforeAutospacing="1" w:after="100" w:afterAutospacing="1"/>
        <w:rPr>
          <w:color w:val="242424"/>
          <w:sz w:val="22"/>
          <w:szCs w:val="22"/>
        </w:rPr>
      </w:pPr>
      <w:r w:rsidRPr="000621CC">
        <w:rPr>
          <w:color w:val="242424"/>
          <w:sz w:val="22"/>
          <w:szCs w:val="22"/>
        </w:rPr>
        <w:t>Organisation’s approach this in different ways</w:t>
      </w:r>
      <w:r w:rsidR="00AE1BC8">
        <w:rPr>
          <w:color w:val="242424"/>
          <w:sz w:val="22"/>
          <w:szCs w:val="22"/>
        </w:rPr>
        <w:t xml:space="preserve">. Some quote total value and others quote day rate.  </w:t>
      </w:r>
      <w:r w:rsidRPr="000621CC">
        <w:rPr>
          <w:color w:val="242424"/>
          <w:sz w:val="22"/>
          <w:szCs w:val="22"/>
        </w:rPr>
        <w:t xml:space="preserve">Many organisations add </w:t>
      </w:r>
      <w:r w:rsidR="00AE1BC8">
        <w:rPr>
          <w:color w:val="242424"/>
          <w:sz w:val="22"/>
          <w:szCs w:val="22"/>
        </w:rPr>
        <w:t xml:space="preserve">days to </w:t>
      </w:r>
      <w:r w:rsidRPr="000621CC">
        <w:rPr>
          <w:color w:val="242424"/>
          <w:sz w:val="22"/>
          <w:szCs w:val="22"/>
        </w:rPr>
        <w:t xml:space="preserve">description column.  Organisations also add separate lines to reflect variety of roles which would be allocated to the project.  </w:t>
      </w:r>
    </w:p>
    <w:p w14:paraId="7E0F4452" w14:textId="3BCBC168" w:rsidR="000621CC" w:rsidRPr="00AE1BC8" w:rsidRDefault="000621CC" w:rsidP="000621CC">
      <w:pPr>
        <w:shd w:val="clear" w:color="auto" w:fill="FFFFFF"/>
        <w:spacing w:before="100" w:beforeAutospacing="1" w:after="100" w:afterAutospacing="1"/>
        <w:rPr>
          <w:b/>
          <w:bCs/>
          <w:color w:val="242424"/>
          <w:sz w:val="22"/>
          <w:szCs w:val="22"/>
        </w:rPr>
      </w:pPr>
      <w:r w:rsidRPr="00AE1BC8">
        <w:rPr>
          <w:b/>
          <w:bCs/>
          <w:color w:val="242424"/>
          <w:sz w:val="22"/>
          <w:szCs w:val="22"/>
        </w:rPr>
        <w:t>Example</w:t>
      </w:r>
      <w:r w:rsidR="00AE1BC8" w:rsidRPr="00AE1BC8">
        <w:rPr>
          <w:b/>
          <w:bCs/>
          <w:color w:val="242424"/>
          <w:sz w:val="22"/>
          <w:szCs w:val="22"/>
        </w:rPr>
        <w:t xml:space="preserve"> 1</w:t>
      </w:r>
    </w:p>
    <w:tbl>
      <w:tblPr>
        <w:tblStyle w:val="TableGrid"/>
        <w:tblW w:w="0" w:type="auto"/>
        <w:tblLook w:val="04A0" w:firstRow="1" w:lastRow="0" w:firstColumn="1" w:lastColumn="0" w:noHBand="0" w:noVBand="1"/>
      </w:tblPr>
      <w:tblGrid>
        <w:gridCol w:w="3013"/>
        <w:gridCol w:w="2993"/>
        <w:gridCol w:w="3010"/>
      </w:tblGrid>
      <w:tr w:rsidR="00AE1BC8" w14:paraId="0C5DCF63" w14:textId="77777777" w:rsidTr="00AE1BC8">
        <w:tc>
          <w:tcPr>
            <w:tcW w:w="3080" w:type="dxa"/>
          </w:tcPr>
          <w:p w14:paraId="4BE46254" w14:textId="7D8D83D3" w:rsidR="00AE1BC8" w:rsidRPr="00AE1BC8" w:rsidRDefault="00AE1BC8" w:rsidP="000621CC">
            <w:pPr>
              <w:spacing w:before="100" w:beforeAutospacing="1" w:after="100" w:afterAutospacing="1"/>
              <w:rPr>
                <w:b/>
                <w:bCs/>
                <w:color w:val="242424"/>
                <w:sz w:val="22"/>
                <w:szCs w:val="22"/>
              </w:rPr>
            </w:pPr>
            <w:r w:rsidRPr="00AE1BC8">
              <w:rPr>
                <w:b/>
                <w:bCs/>
                <w:color w:val="242424"/>
                <w:sz w:val="22"/>
                <w:szCs w:val="22"/>
              </w:rPr>
              <w:t>Item</w:t>
            </w:r>
          </w:p>
        </w:tc>
        <w:tc>
          <w:tcPr>
            <w:tcW w:w="3081" w:type="dxa"/>
          </w:tcPr>
          <w:p w14:paraId="139D0377" w14:textId="2087B671" w:rsidR="00AE1BC8" w:rsidRPr="00AE1BC8" w:rsidRDefault="00AE1BC8" w:rsidP="000621CC">
            <w:pPr>
              <w:spacing w:before="100" w:beforeAutospacing="1" w:after="100" w:afterAutospacing="1"/>
              <w:rPr>
                <w:b/>
                <w:bCs/>
                <w:color w:val="242424"/>
                <w:sz w:val="22"/>
                <w:szCs w:val="22"/>
              </w:rPr>
            </w:pPr>
            <w:r w:rsidRPr="00AE1BC8">
              <w:rPr>
                <w:b/>
                <w:bCs/>
                <w:color w:val="242424"/>
                <w:sz w:val="22"/>
                <w:szCs w:val="22"/>
              </w:rPr>
              <w:t>Cost per day</w:t>
            </w:r>
          </w:p>
        </w:tc>
        <w:tc>
          <w:tcPr>
            <w:tcW w:w="3081" w:type="dxa"/>
          </w:tcPr>
          <w:p w14:paraId="099AA2A2" w14:textId="7E6CD697" w:rsidR="00AE1BC8" w:rsidRPr="00AE1BC8" w:rsidRDefault="00AE1BC8" w:rsidP="000621CC">
            <w:pPr>
              <w:spacing w:before="100" w:beforeAutospacing="1" w:after="100" w:afterAutospacing="1"/>
              <w:rPr>
                <w:b/>
                <w:bCs/>
                <w:color w:val="242424"/>
                <w:sz w:val="22"/>
                <w:szCs w:val="22"/>
              </w:rPr>
            </w:pPr>
            <w:r w:rsidRPr="00AE1BC8">
              <w:rPr>
                <w:b/>
                <w:bCs/>
                <w:color w:val="242424"/>
                <w:sz w:val="22"/>
                <w:szCs w:val="22"/>
              </w:rPr>
              <w:t>Description</w:t>
            </w:r>
          </w:p>
        </w:tc>
      </w:tr>
      <w:tr w:rsidR="00AE1BC8" w14:paraId="5864ED12" w14:textId="77777777" w:rsidTr="00AE1BC8">
        <w:tc>
          <w:tcPr>
            <w:tcW w:w="3080" w:type="dxa"/>
          </w:tcPr>
          <w:p w14:paraId="05E9B4BA" w14:textId="70E7BAA2" w:rsidR="00AE1BC8" w:rsidRDefault="00AE1BC8" w:rsidP="000621CC">
            <w:pPr>
              <w:spacing w:before="100" w:beforeAutospacing="1" w:after="100" w:afterAutospacing="1"/>
              <w:rPr>
                <w:color w:val="242424"/>
                <w:sz w:val="22"/>
                <w:szCs w:val="22"/>
              </w:rPr>
            </w:pPr>
            <w:r>
              <w:rPr>
                <w:color w:val="242424"/>
                <w:sz w:val="22"/>
                <w:szCs w:val="22"/>
              </w:rPr>
              <w:t>Triage and weekly activities</w:t>
            </w:r>
          </w:p>
        </w:tc>
        <w:tc>
          <w:tcPr>
            <w:tcW w:w="3081" w:type="dxa"/>
          </w:tcPr>
          <w:p w14:paraId="71C6FA0A" w14:textId="252F22F7" w:rsidR="00AE1BC8" w:rsidRDefault="00AE1BC8" w:rsidP="000621CC">
            <w:pPr>
              <w:spacing w:before="100" w:beforeAutospacing="1" w:after="100" w:afterAutospacing="1"/>
              <w:rPr>
                <w:color w:val="242424"/>
                <w:sz w:val="22"/>
                <w:szCs w:val="22"/>
              </w:rPr>
            </w:pPr>
            <w:r>
              <w:rPr>
                <w:color w:val="242424"/>
                <w:sz w:val="22"/>
                <w:szCs w:val="22"/>
              </w:rPr>
              <w:t>£99,000</w:t>
            </w:r>
          </w:p>
        </w:tc>
        <w:tc>
          <w:tcPr>
            <w:tcW w:w="3081" w:type="dxa"/>
          </w:tcPr>
          <w:p w14:paraId="797353DB" w14:textId="36954DF3" w:rsidR="00AE1BC8" w:rsidRDefault="00AE1BC8" w:rsidP="000621CC">
            <w:pPr>
              <w:spacing w:before="100" w:beforeAutospacing="1" w:after="100" w:afterAutospacing="1"/>
              <w:rPr>
                <w:color w:val="242424"/>
                <w:sz w:val="22"/>
                <w:szCs w:val="22"/>
              </w:rPr>
            </w:pPr>
            <w:r>
              <w:rPr>
                <w:color w:val="242424"/>
                <w:sz w:val="22"/>
                <w:szCs w:val="22"/>
              </w:rPr>
              <w:t>A total of 182 days support to deliver main elements of programme</w:t>
            </w:r>
          </w:p>
        </w:tc>
      </w:tr>
      <w:tr w:rsidR="00AE1BC8" w14:paraId="2602ED9D" w14:textId="77777777" w:rsidTr="00AE1BC8">
        <w:tc>
          <w:tcPr>
            <w:tcW w:w="3080" w:type="dxa"/>
          </w:tcPr>
          <w:p w14:paraId="32E7B6C3" w14:textId="0A812963" w:rsidR="00AE1BC8" w:rsidRDefault="00AE1BC8" w:rsidP="000621CC">
            <w:pPr>
              <w:spacing w:before="100" w:beforeAutospacing="1" w:after="100" w:afterAutospacing="1"/>
              <w:rPr>
                <w:color w:val="242424"/>
                <w:sz w:val="22"/>
                <w:szCs w:val="22"/>
              </w:rPr>
            </w:pPr>
            <w:r>
              <w:rPr>
                <w:color w:val="242424"/>
                <w:sz w:val="22"/>
                <w:szCs w:val="22"/>
              </w:rPr>
              <w:t>Training and events</w:t>
            </w:r>
          </w:p>
        </w:tc>
        <w:tc>
          <w:tcPr>
            <w:tcW w:w="3081" w:type="dxa"/>
          </w:tcPr>
          <w:p w14:paraId="7E5B2DE7" w14:textId="52A8097E" w:rsidR="00AE1BC8" w:rsidRDefault="00AE1BC8" w:rsidP="000621CC">
            <w:pPr>
              <w:spacing w:before="100" w:beforeAutospacing="1" w:after="100" w:afterAutospacing="1"/>
              <w:rPr>
                <w:color w:val="242424"/>
                <w:sz w:val="22"/>
                <w:szCs w:val="22"/>
              </w:rPr>
            </w:pPr>
            <w:r>
              <w:rPr>
                <w:color w:val="242424"/>
                <w:sz w:val="22"/>
                <w:szCs w:val="22"/>
              </w:rPr>
              <w:t>£30,000</w:t>
            </w:r>
          </w:p>
        </w:tc>
        <w:tc>
          <w:tcPr>
            <w:tcW w:w="3081" w:type="dxa"/>
          </w:tcPr>
          <w:p w14:paraId="0AFCF9AC" w14:textId="1B15C086" w:rsidR="00AE1BC8" w:rsidRDefault="00AE1BC8" w:rsidP="000621CC">
            <w:pPr>
              <w:spacing w:before="100" w:beforeAutospacing="1" w:after="100" w:afterAutospacing="1"/>
              <w:rPr>
                <w:color w:val="242424"/>
                <w:sz w:val="22"/>
                <w:szCs w:val="22"/>
              </w:rPr>
            </w:pPr>
            <w:r>
              <w:rPr>
                <w:color w:val="242424"/>
                <w:sz w:val="22"/>
                <w:szCs w:val="22"/>
              </w:rPr>
              <w:t>30 days budgeted</w:t>
            </w:r>
          </w:p>
        </w:tc>
      </w:tr>
      <w:tr w:rsidR="00AE1BC8" w14:paraId="67D1D2EA" w14:textId="77777777" w:rsidTr="00AE1BC8">
        <w:tc>
          <w:tcPr>
            <w:tcW w:w="3080" w:type="dxa"/>
          </w:tcPr>
          <w:p w14:paraId="15C7A2C3" w14:textId="0578DC6C" w:rsidR="00AE1BC8" w:rsidRDefault="00AE1BC8" w:rsidP="000621CC">
            <w:pPr>
              <w:spacing w:before="100" w:beforeAutospacing="1" w:after="100" w:afterAutospacing="1"/>
              <w:rPr>
                <w:color w:val="242424"/>
                <w:sz w:val="22"/>
                <w:szCs w:val="22"/>
              </w:rPr>
            </w:pPr>
            <w:r>
              <w:rPr>
                <w:color w:val="242424"/>
                <w:sz w:val="22"/>
                <w:szCs w:val="22"/>
              </w:rPr>
              <w:lastRenderedPageBreak/>
              <w:t>Project management and reporting</w:t>
            </w:r>
          </w:p>
        </w:tc>
        <w:tc>
          <w:tcPr>
            <w:tcW w:w="3081" w:type="dxa"/>
          </w:tcPr>
          <w:p w14:paraId="26BBD467" w14:textId="6788C77D" w:rsidR="00AE1BC8" w:rsidRDefault="00AE1BC8" w:rsidP="000621CC">
            <w:pPr>
              <w:spacing w:before="100" w:beforeAutospacing="1" w:after="100" w:afterAutospacing="1"/>
              <w:rPr>
                <w:color w:val="242424"/>
                <w:sz w:val="22"/>
                <w:szCs w:val="22"/>
              </w:rPr>
            </w:pPr>
            <w:r>
              <w:rPr>
                <w:color w:val="242424"/>
                <w:sz w:val="22"/>
                <w:szCs w:val="22"/>
              </w:rPr>
              <w:t>£10,000</w:t>
            </w:r>
          </w:p>
        </w:tc>
        <w:tc>
          <w:tcPr>
            <w:tcW w:w="3081" w:type="dxa"/>
          </w:tcPr>
          <w:p w14:paraId="0ED04ACA" w14:textId="1F59106F" w:rsidR="00AE1BC8" w:rsidRDefault="00AE1BC8" w:rsidP="000621CC">
            <w:pPr>
              <w:spacing w:before="100" w:beforeAutospacing="1" w:after="100" w:afterAutospacing="1"/>
              <w:rPr>
                <w:color w:val="242424"/>
                <w:sz w:val="22"/>
                <w:szCs w:val="22"/>
              </w:rPr>
            </w:pPr>
            <w:r>
              <w:rPr>
                <w:color w:val="242424"/>
                <w:sz w:val="22"/>
                <w:szCs w:val="22"/>
              </w:rPr>
              <w:t>16 days budgeted</w:t>
            </w:r>
          </w:p>
        </w:tc>
      </w:tr>
    </w:tbl>
    <w:p w14:paraId="1437ADD1" w14:textId="24C7BCB5" w:rsidR="00AE1BC8" w:rsidRDefault="00AE1BC8" w:rsidP="000621CC">
      <w:pPr>
        <w:shd w:val="clear" w:color="auto" w:fill="FFFFFF"/>
        <w:spacing w:before="100" w:beforeAutospacing="1" w:after="100" w:afterAutospacing="1"/>
        <w:rPr>
          <w:b/>
          <w:bCs/>
          <w:color w:val="242424"/>
          <w:sz w:val="22"/>
          <w:szCs w:val="22"/>
        </w:rPr>
      </w:pPr>
      <w:r w:rsidRPr="00AE1BC8">
        <w:rPr>
          <w:b/>
          <w:bCs/>
          <w:color w:val="242424"/>
          <w:sz w:val="22"/>
          <w:szCs w:val="22"/>
        </w:rPr>
        <w:t>Example 2</w:t>
      </w:r>
    </w:p>
    <w:tbl>
      <w:tblPr>
        <w:tblStyle w:val="TableGrid"/>
        <w:tblW w:w="0" w:type="auto"/>
        <w:tblLook w:val="04A0" w:firstRow="1" w:lastRow="0" w:firstColumn="1" w:lastColumn="0" w:noHBand="0" w:noVBand="1"/>
      </w:tblPr>
      <w:tblGrid>
        <w:gridCol w:w="3020"/>
        <w:gridCol w:w="2983"/>
        <w:gridCol w:w="3013"/>
      </w:tblGrid>
      <w:tr w:rsidR="00AE1BC8" w:rsidRPr="00AE1BC8" w14:paraId="4DF1D9A6" w14:textId="77777777" w:rsidTr="00745696">
        <w:tc>
          <w:tcPr>
            <w:tcW w:w="3080" w:type="dxa"/>
          </w:tcPr>
          <w:p w14:paraId="7FED8487" w14:textId="77777777" w:rsidR="00AE1BC8" w:rsidRPr="00AE1BC8" w:rsidRDefault="00AE1BC8" w:rsidP="00745696">
            <w:pPr>
              <w:spacing w:before="100" w:beforeAutospacing="1" w:after="100" w:afterAutospacing="1"/>
              <w:rPr>
                <w:b/>
                <w:bCs/>
                <w:color w:val="242424"/>
                <w:sz w:val="22"/>
                <w:szCs w:val="22"/>
              </w:rPr>
            </w:pPr>
            <w:r w:rsidRPr="00AE1BC8">
              <w:rPr>
                <w:b/>
                <w:bCs/>
                <w:color w:val="242424"/>
                <w:sz w:val="22"/>
                <w:szCs w:val="22"/>
              </w:rPr>
              <w:t>Item</w:t>
            </w:r>
          </w:p>
        </w:tc>
        <w:tc>
          <w:tcPr>
            <w:tcW w:w="3081" w:type="dxa"/>
          </w:tcPr>
          <w:p w14:paraId="560233BD" w14:textId="77777777" w:rsidR="00AE1BC8" w:rsidRPr="00AE1BC8" w:rsidRDefault="00AE1BC8" w:rsidP="00745696">
            <w:pPr>
              <w:spacing w:before="100" w:beforeAutospacing="1" w:after="100" w:afterAutospacing="1"/>
              <w:rPr>
                <w:b/>
                <w:bCs/>
                <w:color w:val="242424"/>
                <w:sz w:val="22"/>
                <w:szCs w:val="22"/>
              </w:rPr>
            </w:pPr>
            <w:r w:rsidRPr="00AE1BC8">
              <w:rPr>
                <w:b/>
                <w:bCs/>
                <w:color w:val="242424"/>
                <w:sz w:val="22"/>
                <w:szCs w:val="22"/>
              </w:rPr>
              <w:t>Cost per day</w:t>
            </w:r>
          </w:p>
        </w:tc>
        <w:tc>
          <w:tcPr>
            <w:tcW w:w="3081" w:type="dxa"/>
          </w:tcPr>
          <w:p w14:paraId="2D87CDE0" w14:textId="77777777" w:rsidR="00AE1BC8" w:rsidRPr="00AE1BC8" w:rsidRDefault="00AE1BC8" w:rsidP="00745696">
            <w:pPr>
              <w:spacing w:before="100" w:beforeAutospacing="1" w:after="100" w:afterAutospacing="1"/>
              <w:rPr>
                <w:b/>
                <w:bCs/>
                <w:color w:val="242424"/>
                <w:sz w:val="22"/>
                <w:szCs w:val="22"/>
              </w:rPr>
            </w:pPr>
            <w:r w:rsidRPr="00AE1BC8">
              <w:rPr>
                <w:b/>
                <w:bCs/>
                <w:color w:val="242424"/>
                <w:sz w:val="22"/>
                <w:szCs w:val="22"/>
              </w:rPr>
              <w:t>Description</w:t>
            </w:r>
          </w:p>
        </w:tc>
      </w:tr>
      <w:tr w:rsidR="00AE1BC8" w14:paraId="396B2193" w14:textId="77777777" w:rsidTr="00745696">
        <w:tc>
          <w:tcPr>
            <w:tcW w:w="3080" w:type="dxa"/>
          </w:tcPr>
          <w:p w14:paraId="523795E3" w14:textId="5BADD370" w:rsidR="00AE1BC8" w:rsidRDefault="00AE1BC8" w:rsidP="00745696">
            <w:pPr>
              <w:spacing w:before="100" w:beforeAutospacing="1" w:after="100" w:afterAutospacing="1"/>
              <w:rPr>
                <w:color w:val="242424"/>
                <w:sz w:val="22"/>
                <w:szCs w:val="22"/>
              </w:rPr>
            </w:pPr>
            <w:r>
              <w:rPr>
                <w:color w:val="242424"/>
                <w:sz w:val="22"/>
                <w:szCs w:val="22"/>
              </w:rPr>
              <w:t>Deliver enhanced growth hub</w:t>
            </w:r>
          </w:p>
        </w:tc>
        <w:tc>
          <w:tcPr>
            <w:tcW w:w="3081" w:type="dxa"/>
          </w:tcPr>
          <w:p w14:paraId="397E047A" w14:textId="71102F8A" w:rsidR="00AE1BC8" w:rsidRDefault="00AE1BC8" w:rsidP="00745696">
            <w:pPr>
              <w:spacing w:before="100" w:beforeAutospacing="1" w:after="100" w:afterAutospacing="1"/>
              <w:rPr>
                <w:color w:val="242424"/>
                <w:sz w:val="22"/>
                <w:szCs w:val="22"/>
              </w:rPr>
            </w:pPr>
            <w:r>
              <w:rPr>
                <w:color w:val="242424"/>
                <w:sz w:val="22"/>
                <w:szCs w:val="22"/>
              </w:rPr>
              <w:t>£450</w:t>
            </w:r>
          </w:p>
        </w:tc>
        <w:tc>
          <w:tcPr>
            <w:tcW w:w="3081" w:type="dxa"/>
          </w:tcPr>
          <w:p w14:paraId="327E7C16" w14:textId="4D0F194C" w:rsidR="00AE1BC8" w:rsidRDefault="00AE1BC8" w:rsidP="00745696">
            <w:pPr>
              <w:spacing w:before="100" w:beforeAutospacing="1" w:after="100" w:afterAutospacing="1"/>
              <w:rPr>
                <w:color w:val="242424"/>
                <w:sz w:val="22"/>
                <w:szCs w:val="22"/>
              </w:rPr>
            </w:pPr>
            <w:r>
              <w:rPr>
                <w:color w:val="242424"/>
                <w:sz w:val="22"/>
                <w:szCs w:val="22"/>
              </w:rPr>
              <w:t>263 days of support across core team</w:t>
            </w:r>
          </w:p>
        </w:tc>
      </w:tr>
      <w:tr w:rsidR="00AE1BC8" w14:paraId="20AE2199" w14:textId="77777777" w:rsidTr="00745696">
        <w:tc>
          <w:tcPr>
            <w:tcW w:w="3080" w:type="dxa"/>
          </w:tcPr>
          <w:p w14:paraId="5DF3C61D" w14:textId="52E6FF04" w:rsidR="00AE1BC8" w:rsidRDefault="00AE1BC8" w:rsidP="00745696">
            <w:pPr>
              <w:spacing w:before="100" w:beforeAutospacing="1" w:after="100" w:afterAutospacing="1"/>
              <w:rPr>
                <w:color w:val="242424"/>
                <w:sz w:val="22"/>
                <w:szCs w:val="22"/>
              </w:rPr>
            </w:pPr>
            <w:r>
              <w:rPr>
                <w:color w:val="242424"/>
                <w:sz w:val="22"/>
                <w:szCs w:val="22"/>
              </w:rPr>
              <w:t>Administration</w:t>
            </w:r>
          </w:p>
        </w:tc>
        <w:tc>
          <w:tcPr>
            <w:tcW w:w="3081" w:type="dxa"/>
          </w:tcPr>
          <w:p w14:paraId="6C042BD6" w14:textId="645A220A" w:rsidR="00AE1BC8" w:rsidRDefault="00AE1BC8" w:rsidP="00745696">
            <w:pPr>
              <w:spacing w:before="100" w:beforeAutospacing="1" w:after="100" w:afterAutospacing="1"/>
              <w:rPr>
                <w:color w:val="242424"/>
                <w:sz w:val="22"/>
                <w:szCs w:val="22"/>
              </w:rPr>
            </w:pPr>
            <w:r>
              <w:rPr>
                <w:color w:val="242424"/>
                <w:sz w:val="22"/>
                <w:szCs w:val="22"/>
              </w:rPr>
              <w:t>£200</w:t>
            </w:r>
          </w:p>
        </w:tc>
        <w:tc>
          <w:tcPr>
            <w:tcW w:w="3081" w:type="dxa"/>
          </w:tcPr>
          <w:p w14:paraId="7712A0C2" w14:textId="5303D3CA" w:rsidR="00AE1BC8" w:rsidRDefault="00AE1BC8" w:rsidP="00745696">
            <w:pPr>
              <w:spacing w:before="100" w:beforeAutospacing="1" w:after="100" w:afterAutospacing="1"/>
              <w:rPr>
                <w:color w:val="242424"/>
                <w:sz w:val="22"/>
                <w:szCs w:val="22"/>
              </w:rPr>
            </w:pPr>
            <w:r>
              <w:rPr>
                <w:color w:val="242424"/>
                <w:sz w:val="22"/>
                <w:szCs w:val="22"/>
              </w:rPr>
              <w:t>90 days</w:t>
            </w:r>
          </w:p>
        </w:tc>
      </w:tr>
    </w:tbl>
    <w:p w14:paraId="67AADCC7" w14:textId="77777777" w:rsidR="000C3F9C" w:rsidRDefault="000C3F9C" w:rsidP="000C3F9C">
      <w:pPr>
        <w:shd w:val="clear" w:color="auto" w:fill="FFFFFF"/>
        <w:rPr>
          <w:b/>
          <w:bCs/>
        </w:rPr>
      </w:pPr>
    </w:p>
    <w:p w14:paraId="1D9F3629" w14:textId="042056B4" w:rsidR="00AE1BC8" w:rsidRPr="000C3F9C" w:rsidRDefault="000C3F9C" w:rsidP="000C3F9C">
      <w:pPr>
        <w:shd w:val="clear" w:color="auto" w:fill="FFFFFF"/>
        <w:rPr>
          <w:b/>
          <w:bCs/>
        </w:rPr>
      </w:pPr>
      <w:r w:rsidRPr="000C3F9C">
        <w:rPr>
          <w:b/>
          <w:bCs/>
        </w:rPr>
        <w:t>Contract Conditions at Appendix 2 of the RFQ</w:t>
      </w:r>
    </w:p>
    <w:p w14:paraId="0DB9D84E" w14:textId="597C256A" w:rsidR="000C3F9C" w:rsidRDefault="0000504D" w:rsidP="000C3F9C">
      <w:pPr>
        <w:shd w:val="clear" w:color="auto" w:fill="FFFFFF"/>
        <w:rPr>
          <w:b/>
          <w:bCs/>
          <w:color w:val="242424"/>
          <w:sz w:val="22"/>
          <w:szCs w:val="22"/>
        </w:rPr>
      </w:pPr>
      <w:r>
        <w:t>Also available on request.</w:t>
      </w:r>
    </w:p>
    <w:p w14:paraId="3C8A084F" w14:textId="7FC86CF9" w:rsidR="00AE1BC8" w:rsidRPr="000621CC" w:rsidRDefault="0000504D" w:rsidP="000621CC">
      <w:pPr>
        <w:shd w:val="clear" w:color="auto" w:fill="FFFFFF"/>
        <w:spacing w:before="100" w:beforeAutospacing="1" w:after="100" w:afterAutospacing="1"/>
        <w:rPr>
          <w:color w:val="242424"/>
          <w:sz w:val="22"/>
          <w:szCs w:val="22"/>
        </w:rPr>
      </w:pPr>
      <w:r>
        <w:object w:dxaOrig="1508" w:dyaOrig="982" w14:anchorId="323B9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75pt;height:48.75pt" o:ole="">
            <v:imagedata r:id="rId7" o:title=""/>
          </v:shape>
          <o:OLEObject Type="Embed" ProgID="Word.Document.12" ShapeID="_x0000_i1032" DrawAspect="Icon" ObjectID="_1710060580" r:id="rId8">
            <o:FieldCodes>\s</o:FieldCodes>
          </o:OLEObject>
        </w:object>
      </w:r>
      <w:r w:rsidRPr="0000504D">
        <w:t xml:space="preserve"> </w:t>
      </w:r>
      <w:r>
        <w:object w:dxaOrig="1508" w:dyaOrig="982" w14:anchorId="000F79F2">
          <v:shape id="_x0000_i1033" type="#_x0000_t75" style="width:75.75pt;height:48.75pt" o:ole="">
            <v:imagedata r:id="rId9" o:title=""/>
          </v:shape>
          <o:OLEObject Type="Embed" ProgID="Word.Document.12" ShapeID="_x0000_i1033" DrawAspect="Icon" ObjectID="_1710060581" r:id="rId10">
            <o:FieldCodes>\s</o:FieldCodes>
          </o:OLEObject>
        </w:object>
      </w:r>
    </w:p>
    <w:p w14:paraId="5C1717BB" w14:textId="27F557FA" w:rsidR="0000504D" w:rsidRPr="0000504D" w:rsidRDefault="0000504D" w:rsidP="0000504D">
      <w:pPr>
        <w:spacing w:line="216" w:lineRule="auto"/>
        <w:rPr>
          <w:rFonts w:eastAsia="Times New Roman"/>
          <w:b/>
          <w:bCs/>
          <w:color w:val="000000"/>
        </w:rPr>
      </w:pPr>
      <w:r w:rsidRPr="0000504D">
        <w:rPr>
          <w:rFonts w:eastAsia="Times New Roman"/>
          <w:b/>
          <w:bCs/>
          <w:color w:val="000000"/>
        </w:rPr>
        <w:t>Please can you confirm the 80K funding is exclusive of VAT?</w:t>
      </w:r>
      <w:r w:rsidRPr="0000504D">
        <w:rPr>
          <w:rFonts w:eastAsia="Times New Roman"/>
          <w:b/>
          <w:bCs/>
          <w:color w:val="000000"/>
        </w:rPr>
        <w:t xml:space="preserve"> </w:t>
      </w:r>
    </w:p>
    <w:p w14:paraId="0A3CEC30" w14:textId="4EE79654" w:rsidR="0000504D" w:rsidRDefault="0000504D" w:rsidP="0000504D">
      <w:pPr>
        <w:spacing w:line="216" w:lineRule="auto"/>
        <w:rPr>
          <w:rFonts w:eastAsia="Times New Roman"/>
          <w:color w:val="000000"/>
        </w:rPr>
      </w:pPr>
      <w:r>
        <w:rPr>
          <w:rFonts w:eastAsia="Times New Roman"/>
          <w:color w:val="000000"/>
        </w:rPr>
        <w:t>Yes</w:t>
      </w:r>
    </w:p>
    <w:p w14:paraId="257EF0AE" w14:textId="77777777" w:rsidR="0000504D" w:rsidRPr="0000504D" w:rsidRDefault="0000504D" w:rsidP="0000504D">
      <w:pPr>
        <w:spacing w:line="216" w:lineRule="auto"/>
        <w:rPr>
          <w:rFonts w:eastAsia="Times New Roman"/>
        </w:rPr>
      </w:pPr>
    </w:p>
    <w:p w14:paraId="7CF639F2" w14:textId="29C223AF" w:rsidR="0000504D" w:rsidRDefault="0000504D" w:rsidP="0000504D">
      <w:pPr>
        <w:spacing w:line="216" w:lineRule="auto"/>
        <w:rPr>
          <w:rFonts w:eastAsia="Times New Roman"/>
          <w:b/>
          <w:bCs/>
          <w:color w:val="000000"/>
        </w:rPr>
      </w:pPr>
      <w:r w:rsidRPr="0000504D">
        <w:rPr>
          <w:rFonts w:eastAsia="Times New Roman"/>
          <w:b/>
          <w:bCs/>
          <w:color w:val="000000"/>
        </w:rPr>
        <w:t>Is the 80K funding just for the delivery of the two confirmed grant programmes; with further funding to be provided should new grant schemes come on stream?</w:t>
      </w:r>
    </w:p>
    <w:p w14:paraId="17DFB9DB" w14:textId="77777777" w:rsidR="0000504D" w:rsidRPr="0000504D" w:rsidRDefault="0000504D" w:rsidP="0000504D">
      <w:pPr>
        <w:spacing w:line="216" w:lineRule="auto"/>
        <w:rPr>
          <w:rFonts w:eastAsia="Times New Roman"/>
          <w:b/>
          <w:bCs/>
          <w:color w:val="000000"/>
        </w:rPr>
      </w:pPr>
    </w:p>
    <w:p w14:paraId="73E2B3EE" w14:textId="57CE9996" w:rsidR="0000504D" w:rsidRDefault="0000504D" w:rsidP="0000504D">
      <w:pPr>
        <w:spacing w:line="216" w:lineRule="auto"/>
        <w:rPr>
          <w:rFonts w:eastAsia="Times New Roman"/>
          <w:color w:val="000000"/>
        </w:rPr>
      </w:pPr>
      <w:r>
        <w:rPr>
          <w:rFonts w:eastAsia="Times New Roman"/>
          <w:color w:val="000000"/>
        </w:rPr>
        <w:t xml:space="preserve">Further funding will be </w:t>
      </w:r>
      <w:r w:rsidR="00981A77">
        <w:rPr>
          <w:rFonts w:eastAsia="Times New Roman"/>
          <w:color w:val="000000"/>
        </w:rPr>
        <w:t>considered</w:t>
      </w:r>
      <w:r>
        <w:rPr>
          <w:rFonts w:eastAsia="Times New Roman"/>
          <w:color w:val="000000"/>
        </w:rPr>
        <w:t xml:space="preserve"> for any future grant schemes.</w:t>
      </w:r>
    </w:p>
    <w:p w14:paraId="20BDBB2B" w14:textId="77777777" w:rsidR="0000504D" w:rsidRPr="0000504D" w:rsidRDefault="0000504D" w:rsidP="0000504D">
      <w:pPr>
        <w:spacing w:line="216" w:lineRule="auto"/>
        <w:rPr>
          <w:rFonts w:eastAsia="Times New Roman"/>
        </w:rPr>
      </w:pPr>
    </w:p>
    <w:p w14:paraId="7539E70A" w14:textId="056D2920" w:rsidR="00981A77" w:rsidRPr="00981A77" w:rsidRDefault="0000504D" w:rsidP="0000504D">
      <w:pPr>
        <w:spacing w:line="216" w:lineRule="auto"/>
        <w:rPr>
          <w:rFonts w:eastAsia="Times New Roman"/>
          <w:b/>
          <w:bCs/>
          <w:color w:val="000000"/>
        </w:rPr>
      </w:pPr>
      <w:r w:rsidRPr="00981A77">
        <w:rPr>
          <w:rFonts w:eastAsia="Times New Roman"/>
          <w:b/>
          <w:bCs/>
          <w:color w:val="000000"/>
        </w:rPr>
        <w:t xml:space="preserve">It is stated: The consultant will design and deliver the full grant lifecycle, systems </w:t>
      </w:r>
      <w:r w:rsidR="00981A77" w:rsidRPr="00981A77">
        <w:rPr>
          <w:rFonts w:eastAsia="Times New Roman"/>
          <w:b/>
          <w:bCs/>
          <w:color w:val="000000"/>
        </w:rPr>
        <w:t>processes,</w:t>
      </w:r>
      <w:r w:rsidRPr="00981A77">
        <w:rPr>
          <w:rFonts w:eastAsia="Times New Roman"/>
          <w:b/>
          <w:bCs/>
          <w:color w:val="000000"/>
        </w:rPr>
        <w:t xml:space="preserve"> and documentations (unless already designed which is the case for the CBAF scheme). Please can you confirm which of the responsibilities listed you anticipate the bidder playing for the CBAF scheme</w:t>
      </w:r>
    </w:p>
    <w:p w14:paraId="0D19F107" w14:textId="443D0D74" w:rsidR="0000504D" w:rsidRDefault="0000504D" w:rsidP="0000504D">
      <w:pPr>
        <w:spacing w:line="216" w:lineRule="auto"/>
        <w:rPr>
          <w:rFonts w:eastAsia="Times New Roman"/>
          <w:color w:val="000000"/>
        </w:rPr>
      </w:pPr>
      <w:r w:rsidRPr="0000504D">
        <w:rPr>
          <w:rFonts w:eastAsia="Times New Roman"/>
          <w:color w:val="000000"/>
        </w:rPr>
        <w:t>.</w:t>
      </w:r>
    </w:p>
    <w:p w14:paraId="31475244" w14:textId="380F7660" w:rsidR="0000504D" w:rsidRDefault="0000504D" w:rsidP="0000504D">
      <w:pPr>
        <w:spacing w:line="216" w:lineRule="auto"/>
        <w:rPr>
          <w:rFonts w:eastAsia="Times New Roman"/>
          <w:color w:val="000000"/>
        </w:rPr>
      </w:pPr>
      <w:r>
        <w:rPr>
          <w:rFonts w:eastAsia="Times New Roman"/>
          <w:color w:val="000000"/>
        </w:rPr>
        <w:t>The majority will be the responsibility of the bidder.  By the time the contract is awarded, the guidance will be signed off and online applications forms in design with current CRM pr</w:t>
      </w:r>
      <w:r w:rsidR="00981A77">
        <w:rPr>
          <w:rFonts w:eastAsia="Times New Roman"/>
          <w:color w:val="000000"/>
        </w:rPr>
        <w:t>ovider and com’s plan agreed.</w:t>
      </w:r>
    </w:p>
    <w:p w14:paraId="5B8C3556" w14:textId="77777777" w:rsidR="00981A77" w:rsidRPr="0000504D" w:rsidRDefault="00981A77" w:rsidP="0000504D">
      <w:pPr>
        <w:spacing w:line="216" w:lineRule="auto"/>
        <w:rPr>
          <w:rFonts w:eastAsia="Times New Roman"/>
        </w:rPr>
      </w:pPr>
    </w:p>
    <w:p w14:paraId="3740539D" w14:textId="49616AE9" w:rsidR="0000504D" w:rsidRPr="00981A77" w:rsidRDefault="0000504D" w:rsidP="0000504D">
      <w:pPr>
        <w:spacing w:line="216" w:lineRule="auto"/>
        <w:rPr>
          <w:rFonts w:eastAsia="Times New Roman"/>
          <w:b/>
          <w:bCs/>
          <w:color w:val="000000"/>
        </w:rPr>
      </w:pPr>
      <w:r w:rsidRPr="00981A77">
        <w:rPr>
          <w:rFonts w:eastAsia="Times New Roman"/>
          <w:b/>
          <w:bCs/>
          <w:color w:val="000000"/>
        </w:rPr>
        <w:t>Please confirm that the Growth Hub will be responsible for the promotion of the respective grant programmes not the successful provider.</w:t>
      </w:r>
    </w:p>
    <w:p w14:paraId="394F4549" w14:textId="3121D6CA" w:rsidR="00981A77" w:rsidRDefault="00981A77" w:rsidP="0000504D">
      <w:pPr>
        <w:spacing w:line="216" w:lineRule="auto"/>
        <w:rPr>
          <w:rFonts w:eastAsia="Times New Roman"/>
          <w:color w:val="000000"/>
        </w:rPr>
      </w:pPr>
    </w:p>
    <w:p w14:paraId="7A39D1FB" w14:textId="6090C059" w:rsidR="00981A77" w:rsidRDefault="00981A77" w:rsidP="0000504D">
      <w:pPr>
        <w:spacing w:line="216" w:lineRule="auto"/>
        <w:rPr>
          <w:rFonts w:eastAsia="Times New Roman"/>
          <w:color w:val="000000"/>
        </w:rPr>
      </w:pPr>
      <w:r>
        <w:rPr>
          <w:rFonts w:eastAsia="Times New Roman"/>
          <w:color w:val="000000"/>
        </w:rPr>
        <w:t>It will be OxLEP’s responsibility however we would expect the successful bidder to also support promotion.</w:t>
      </w:r>
    </w:p>
    <w:p w14:paraId="2C300095" w14:textId="77777777" w:rsidR="00981A77" w:rsidRPr="0000504D" w:rsidRDefault="00981A77" w:rsidP="0000504D">
      <w:pPr>
        <w:spacing w:line="216" w:lineRule="auto"/>
        <w:rPr>
          <w:rFonts w:eastAsia="Times New Roman"/>
        </w:rPr>
      </w:pPr>
    </w:p>
    <w:p w14:paraId="39D47F1C" w14:textId="48931D55" w:rsidR="0000504D" w:rsidRPr="00981A77" w:rsidRDefault="0000504D" w:rsidP="0000504D">
      <w:pPr>
        <w:spacing w:line="216" w:lineRule="auto"/>
        <w:rPr>
          <w:rFonts w:eastAsia="Times New Roman"/>
          <w:b/>
          <w:bCs/>
        </w:rPr>
      </w:pPr>
      <w:r w:rsidRPr="00981A77">
        <w:rPr>
          <w:rFonts w:eastAsia="Times New Roman"/>
          <w:b/>
          <w:bCs/>
        </w:rPr>
        <w:t>For the VERPIF grant scheme do you anticipate an on-line application form linked to an existing website?</w:t>
      </w:r>
    </w:p>
    <w:p w14:paraId="4ED9317A" w14:textId="7D4BE8DD" w:rsidR="00981A77" w:rsidRDefault="00981A77" w:rsidP="0000504D">
      <w:pPr>
        <w:spacing w:line="216" w:lineRule="auto"/>
        <w:rPr>
          <w:rFonts w:eastAsia="Times New Roman"/>
        </w:rPr>
      </w:pPr>
    </w:p>
    <w:p w14:paraId="6431546E" w14:textId="5C33263A" w:rsidR="00981A77" w:rsidRDefault="00981A77" w:rsidP="0000504D">
      <w:pPr>
        <w:spacing w:line="216" w:lineRule="auto"/>
        <w:rPr>
          <w:rFonts w:eastAsia="Times New Roman"/>
        </w:rPr>
      </w:pPr>
      <w:r>
        <w:rPr>
          <w:rFonts w:eastAsia="Times New Roman"/>
        </w:rPr>
        <w:t>Yes</w:t>
      </w:r>
    </w:p>
    <w:p w14:paraId="314E5504" w14:textId="77777777" w:rsidR="00981A77" w:rsidRPr="0000504D" w:rsidRDefault="00981A77" w:rsidP="0000504D">
      <w:pPr>
        <w:spacing w:line="216" w:lineRule="auto"/>
        <w:rPr>
          <w:rFonts w:eastAsia="Times New Roman"/>
        </w:rPr>
      </w:pPr>
    </w:p>
    <w:p w14:paraId="281D1D2E" w14:textId="25203B0B" w:rsidR="0000504D" w:rsidRPr="00981A77" w:rsidRDefault="0000504D" w:rsidP="0000504D">
      <w:pPr>
        <w:spacing w:line="216" w:lineRule="auto"/>
        <w:rPr>
          <w:rFonts w:eastAsia="Times New Roman"/>
          <w:b/>
          <w:bCs/>
          <w:color w:val="000000"/>
        </w:rPr>
      </w:pPr>
      <w:r w:rsidRPr="00981A77">
        <w:rPr>
          <w:rFonts w:eastAsia="Times New Roman"/>
          <w:b/>
          <w:bCs/>
          <w:color w:val="000000"/>
        </w:rPr>
        <w:t>Please can you confirm the successful provider is not responsible for the evaluation of the grant programmes, but as per the specification, is ‘contractually obliged to take part in grant impact PR activity, providing case studies and images within 6 months of grant being defrayed’.</w:t>
      </w:r>
    </w:p>
    <w:p w14:paraId="6085DE80" w14:textId="6072F9E6" w:rsidR="00981A77" w:rsidRDefault="00981A77" w:rsidP="0000504D">
      <w:pPr>
        <w:spacing w:line="216" w:lineRule="auto"/>
        <w:rPr>
          <w:rFonts w:eastAsia="Times New Roman"/>
          <w:color w:val="000000"/>
        </w:rPr>
      </w:pPr>
      <w:r>
        <w:rPr>
          <w:rFonts w:eastAsia="Times New Roman"/>
          <w:color w:val="000000"/>
        </w:rPr>
        <w:lastRenderedPageBreak/>
        <w:t>We would expect the bidder to help develop the evaluation having worked closely with the successful grant awardees.</w:t>
      </w:r>
    </w:p>
    <w:p w14:paraId="5774C592" w14:textId="77777777" w:rsidR="00981A77" w:rsidRPr="0000504D" w:rsidRDefault="00981A77" w:rsidP="0000504D">
      <w:pPr>
        <w:spacing w:line="216" w:lineRule="auto"/>
        <w:rPr>
          <w:rFonts w:eastAsia="Times New Roman"/>
          <w:color w:val="000000"/>
        </w:rPr>
      </w:pPr>
    </w:p>
    <w:p w14:paraId="7FF5368A" w14:textId="35CC68BA" w:rsidR="0000504D" w:rsidRPr="00981A77" w:rsidRDefault="0000504D" w:rsidP="0000504D">
      <w:pPr>
        <w:spacing w:line="216" w:lineRule="auto"/>
        <w:rPr>
          <w:rFonts w:eastAsia="Times New Roman"/>
          <w:b/>
          <w:bCs/>
          <w:color w:val="000000"/>
        </w:rPr>
      </w:pPr>
      <w:r w:rsidRPr="00981A77">
        <w:rPr>
          <w:rFonts w:eastAsia="Times New Roman"/>
          <w:b/>
          <w:bCs/>
          <w:color w:val="000000"/>
        </w:rPr>
        <w:t>Please can you provide the relevant contract conditions at Appendix 2 (these appear to be missing).</w:t>
      </w:r>
    </w:p>
    <w:p w14:paraId="7DDA769E" w14:textId="4FBA964E" w:rsidR="00981A77" w:rsidRDefault="00981A77" w:rsidP="0000504D">
      <w:pPr>
        <w:spacing w:line="216" w:lineRule="auto"/>
        <w:rPr>
          <w:rFonts w:eastAsia="Times New Roman"/>
          <w:color w:val="000000"/>
        </w:rPr>
      </w:pPr>
      <w:r>
        <w:rPr>
          <w:rFonts w:eastAsia="Times New Roman"/>
          <w:color w:val="000000"/>
        </w:rPr>
        <w:t>See earlier question.</w:t>
      </w:r>
    </w:p>
    <w:p w14:paraId="442500AF" w14:textId="77777777" w:rsidR="00981A77" w:rsidRPr="0000504D" w:rsidRDefault="00981A77" w:rsidP="0000504D">
      <w:pPr>
        <w:spacing w:line="216" w:lineRule="auto"/>
        <w:rPr>
          <w:rFonts w:eastAsia="Times New Roman"/>
        </w:rPr>
      </w:pPr>
    </w:p>
    <w:p w14:paraId="7D3A3B40" w14:textId="6625F589" w:rsidR="0000504D" w:rsidRDefault="0000504D" w:rsidP="0000504D">
      <w:pPr>
        <w:spacing w:line="216" w:lineRule="auto"/>
        <w:rPr>
          <w:rFonts w:eastAsia="Times New Roman"/>
          <w:b/>
          <w:bCs/>
          <w:color w:val="000000"/>
        </w:rPr>
      </w:pPr>
      <w:r w:rsidRPr="00981A77">
        <w:rPr>
          <w:rFonts w:eastAsia="Times New Roman"/>
          <w:b/>
          <w:bCs/>
          <w:color w:val="000000"/>
        </w:rPr>
        <w:t>Please can you provide a Word Version of the application documentation so that it can be populated</w:t>
      </w:r>
      <w:r w:rsidR="00981A77">
        <w:rPr>
          <w:rFonts w:eastAsia="Times New Roman"/>
          <w:b/>
          <w:bCs/>
          <w:color w:val="000000"/>
        </w:rPr>
        <w:t>.</w:t>
      </w:r>
    </w:p>
    <w:p w14:paraId="748A9312" w14:textId="77777777" w:rsidR="00981A77" w:rsidRDefault="00981A77" w:rsidP="0000504D">
      <w:pPr>
        <w:spacing w:line="216" w:lineRule="auto"/>
        <w:rPr>
          <w:rFonts w:eastAsia="Times New Roman"/>
          <w:b/>
          <w:bCs/>
          <w:color w:val="000000"/>
        </w:rPr>
      </w:pPr>
    </w:p>
    <w:p w14:paraId="59497005" w14:textId="320B6A21" w:rsidR="00981A77" w:rsidRPr="00981A77" w:rsidRDefault="00981A77" w:rsidP="0000504D">
      <w:pPr>
        <w:spacing w:line="216" w:lineRule="auto"/>
        <w:rPr>
          <w:rFonts w:eastAsia="Times New Roman"/>
        </w:rPr>
      </w:pPr>
      <w:r w:rsidRPr="00981A77">
        <w:rPr>
          <w:rFonts w:eastAsia="Times New Roman"/>
          <w:color w:val="000000"/>
        </w:rPr>
        <w:t xml:space="preserve">Can be found </w:t>
      </w:r>
      <w:hyperlink r:id="rId11" w:history="1">
        <w:r w:rsidRPr="00981A77">
          <w:rPr>
            <w:rStyle w:val="Hyperlink"/>
            <w:rFonts w:eastAsia="Times New Roman"/>
          </w:rPr>
          <w:t>here</w:t>
        </w:r>
      </w:hyperlink>
      <w:r w:rsidRPr="00981A77">
        <w:rPr>
          <w:rFonts w:eastAsia="Times New Roman"/>
          <w:color w:val="000000"/>
        </w:rPr>
        <w:t>.</w:t>
      </w:r>
    </w:p>
    <w:p w14:paraId="258BF931" w14:textId="77777777" w:rsidR="000621CC" w:rsidRPr="00981A77" w:rsidRDefault="000621CC">
      <w:pPr>
        <w:rPr>
          <w:b/>
          <w:bCs/>
        </w:rPr>
      </w:pPr>
    </w:p>
    <w:sectPr w:rsidR="000621CC" w:rsidRPr="00981A7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9817" w14:textId="77777777" w:rsidR="000621CC" w:rsidRDefault="000621CC" w:rsidP="000621CC">
      <w:r>
        <w:separator/>
      </w:r>
    </w:p>
  </w:endnote>
  <w:endnote w:type="continuationSeparator" w:id="0">
    <w:p w14:paraId="225D4FA4" w14:textId="77777777" w:rsidR="000621CC" w:rsidRDefault="000621CC" w:rsidP="0006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86D2B" w14:textId="77777777" w:rsidR="000621CC" w:rsidRDefault="000621CC" w:rsidP="000621CC">
      <w:r>
        <w:separator/>
      </w:r>
    </w:p>
  </w:footnote>
  <w:footnote w:type="continuationSeparator" w:id="0">
    <w:p w14:paraId="3DD03873" w14:textId="77777777" w:rsidR="000621CC" w:rsidRDefault="000621CC" w:rsidP="0006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8306" w14:textId="128BEF4A" w:rsidR="000621CC" w:rsidRDefault="000621CC">
    <w:pPr>
      <w:pStyle w:val="Header"/>
    </w:pPr>
    <w:r>
      <w:rPr>
        <w:noProof/>
      </w:rPr>
      <w:ptab w:relativeTo="margin" w:alignment="right" w:leader="none"/>
    </w:r>
    <w:r>
      <w:rPr>
        <w:noProof/>
      </w:rPr>
      <w:drawing>
        <wp:inline distT="0" distB="0" distL="0" distR="0" wp14:anchorId="3B9D792C" wp14:editId="21F6C262">
          <wp:extent cx="2584450" cy="10572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029" cy="1059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07C8"/>
    <w:multiLevelType w:val="hybridMultilevel"/>
    <w:tmpl w:val="4DC048AA"/>
    <w:lvl w:ilvl="0" w:tplc="01C40110">
      <w:start w:val="1"/>
      <w:numFmt w:val="lowerLetter"/>
      <w:lvlText w:val="%1)"/>
      <w:lvlJc w:val="left"/>
      <w:pPr>
        <w:tabs>
          <w:tab w:val="num" w:pos="360"/>
        </w:tabs>
        <w:ind w:left="360" w:hanging="360"/>
      </w:pPr>
    </w:lvl>
    <w:lvl w:ilvl="1" w:tplc="2C146F40">
      <w:start w:val="1"/>
      <w:numFmt w:val="lowerLetter"/>
      <w:lvlText w:val="%2)"/>
      <w:lvlJc w:val="left"/>
      <w:pPr>
        <w:tabs>
          <w:tab w:val="num" w:pos="1080"/>
        </w:tabs>
        <w:ind w:left="1080" w:hanging="360"/>
      </w:pPr>
    </w:lvl>
    <w:lvl w:ilvl="2" w:tplc="7488FB66">
      <w:start w:val="1"/>
      <w:numFmt w:val="lowerLetter"/>
      <w:lvlText w:val="%3)"/>
      <w:lvlJc w:val="left"/>
      <w:pPr>
        <w:tabs>
          <w:tab w:val="num" w:pos="1800"/>
        </w:tabs>
        <w:ind w:left="1800" w:hanging="360"/>
      </w:pPr>
    </w:lvl>
    <w:lvl w:ilvl="3" w:tplc="0582C23C">
      <w:start w:val="1"/>
      <w:numFmt w:val="lowerLetter"/>
      <w:lvlText w:val="%4)"/>
      <w:lvlJc w:val="left"/>
      <w:pPr>
        <w:tabs>
          <w:tab w:val="num" w:pos="2520"/>
        </w:tabs>
        <w:ind w:left="2520" w:hanging="360"/>
      </w:pPr>
    </w:lvl>
    <w:lvl w:ilvl="4" w:tplc="134E025E">
      <w:start w:val="1"/>
      <w:numFmt w:val="lowerLetter"/>
      <w:lvlText w:val="%5)"/>
      <w:lvlJc w:val="left"/>
      <w:pPr>
        <w:tabs>
          <w:tab w:val="num" w:pos="3240"/>
        </w:tabs>
        <w:ind w:left="3240" w:hanging="360"/>
      </w:pPr>
    </w:lvl>
    <w:lvl w:ilvl="5" w:tplc="3D50B2EA">
      <w:start w:val="1"/>
      <w:numFmt w:val="lowerLetter"/>
      <w:lvlText w:val="%6)"/>
      <w:lvlJc w:val="left"/>
      <w:pPr>
        <w:tabs>
          <w:tab w:val="num" w:pos="3960"/>
        </w:tabs>
        <w:ind w:left="3960" w:hanging="360"/>
      </w:pPr>
    </w:lvl>
    <w:lvl w:ilvl="6" w:tplc="586477B6">
      <w:start w:val="1"/>
      <w:numFmt w:val="lowerLetter"/>
      <w:lvlText w:val="%7)"/>
      <w:lvlJc w:val="left"/>
      <w:pPr>
        <w:tabs>
          <w:tab w:val="num" w:pos="4680"/>
        </w:tabs>
        <w:ind w:left="4680" w:hanging="360"/>
      </w:pPr>
    </w:lvl>
    <w:lvl w:ilvl="7" w:tplc="F2F89E6E">
      <w:start w:val="1"/>
      <w:numFmt w:val="lowerLetter"/>
      <w:lvlText w:val="%8)"/>
      <w:lvlJc w:val="left"/>
      <w:pPr>
        <w:tabs>
          <w:tab w:val="num" w:pos="5400"/>
        </w:tabs>
        <w:ind w:left="5400" w:hanging="360"/>
      </w:pPr>
    </w:lvl>
    <w:lvl w:ilvl="8" w:tplc="55E0DB98">
      <w:start w:val="1"/>
      <w:numFmt w:val="lowerLetter"/>
      <w:lvlText w:val="%9)"/>
      <w:lvlJc w:val="left"/>
      <w:pPr>
        <w:tabs>
          <w:tab w:val="num" w:pos="6120"/>
        </w:tabs>
        <w:ind w:left="6120" w:hanging="360"/>
      </w:pPr>
    </w:lvl>
  </w:abstractNum>
  <w:abstractNum w:abstractNumId="1" w15:restartNumberingAfterBreak="0">
    <w:nsid w:val="1F536A52"/>
    <w:multiLevelType w:val="hybridMultilevel"/>
    <w:tmpl w:val="52CE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C1141D"/>
    <w:multiLevelType w:val="multilevel"/>
    <w:tmpl w:val="9ABA4EC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73403794"/>
    <w:multiLevelType w:val="hybridMultilevel"/>
    <w:tmpl w:val="D4E8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CC"/>
    <w:rsid w:val="0000504D"/>
    <w:rsid w:val="000621CC"/>
    <w:rsid w:val="000B4310"/>
    <w:rsid w:val="000C3F9C"/>
    <w:rsid w:val="004000D7"/>
    <w:rsid w:val="00504E43"/>
    <w:rsid w:val="007908F4"/>
    <w:rsid w:val="00981A77"/>
    <w:rsid w:val="00AE1BC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8082"/>
  <w15:chartTrackingRefBased/>
  <w15:docId w15:val="{40B175EF-0751-48B2-9D24-06CBFB86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CC"/>
    <w:pPr>
      <w:tabs>
        <w:tab w:val="center" w:pos="4513"/>
        <w:tab w:val="right" w:pos="9026"/>
      </w:tabs>
    </w:pPr>
  </w:style>
  <w:style w:type="character" w:customStyle="1" w:styleId="HeaderChar">
    <w:name w:val="Header Char"/>
    <w:basedOn w:val="DefaultParagraphFont"/>
    <w:link w:val="Header"/>
    <w:uiPriority w:val="99"/>
    <w:rsid w:val="000621CC"/>
  </w:style>
  <w:style w:type="paragraph" w:styleId="Footer">
    <w:name w:val="footer"/>
    <w:basedOn w:val="Normal"/>
    <w:link w:val="FooterChar"/>
    <w:uiPriority w:val="99"/>
    <w:unhideWhenUsed/>
    <w:rsid w:val="000621CC"/>
    <w:pPr>
      <w:tabs>
        <w:tab w:val="center" w:pos="4513"/>
        <w:tab w:val="right" w:pos="9026"/>
      </w:tabs>
    </w:pPr>
  </w:style>
  <w:style w:type="character" w:customStyle="1" w:styleId="FooterChar">
    <w:name w:val="Footer Char"/>
    <w:basedOn w:val="DefaultParagraphFont"/>
    <w:link w:val="Footer"/>
    <w:uiPriority w:val="99"/>
    <w:rsid w:val="000621CC"/>
  </w:style>
  <w:style w:type="paragraph" w:styleId="PlainText">
    <w:name w:val="Plain Text"/>
    <w:basedOn w:val="Normal"/>
    <w:link w:val="PlainTextChar"/>
    <w:uiPriority w:val="99"/>
    <w:semiHidden/>
    <w:unhideWhenUsed/>
    <w:rsid w:val="000621CC"/>
    <w:rPr>
      <w:rFonts w:cstheme="minorBidi"/>
      <w:szCs w:val="21"/>
    </w:rPr>
  </w:style>
  <w:style w:type="character" w:customStyle="1" w:styleId="PlainTextChar">
    <w:name w:val="Plain Text Char"/>
    <w:basedOn w:val="DefaultParagraphFont"/>
    <w:link w:val="PlainText"/>
    <w:uiPriority w:val="99"/>
    <w:semiHidden/>
    <w:rsid w:val="000621CC"/>
    <w:rPr>
      <w:rFonts w:cstheme="minorBidi"/>
      <w:szCs w:val="21"/>
    </w:rPr>
  </w:style>
  <w:style w:type="paragraph" w:styleId="ListParagraph">
    <w:name w:val="List Paragraph"/>
    <w:basedOn w:val="Normal"/>
    <w:uiPriority w:val="34"/>
    <w:qFormat/>
    <w:rsid w:val="000621CC"/>
    <w:pPr>
      <w:ind w:left="720"/>
    </w:pPr>
    <w:rPr>
      <w:rFonts w:ascii="Calibri" w:hAnsi="Calibri" w:cs="Calibri"/>
      <w:sz w:val="22"/>
      <w:szCs w:val="22"/>
      <w:lang w:eastAsia="en-GB"/>
    </w:rPr>
  </w:style>
  <w:style w:type="table" w:styleId="TableGrid">
    <w:name w:val="Table Grid"/>
    <w:basedOn w:val="TableNormal"/>
    <w:uiPriority w:val="59"/>
    <w:rsid w:val="00AE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77"/>
    <w:rPr>
      <w:color w:val="0000FF" w:themeColor="hyperlink"/>
      <w:u w:val="single"/>
    </w:rPr>
  </w:style>
  <w:style w:type="character" w:styleId="UnresolvedMention">
    <w:name w:val="Unresolved Mention"/>
    <w:basedOn w:val="DefaultParagraphFont"/>
    <w:uiPriority w:val="99"/>
    <w:semiHidden/>
    <w:unhideWhenUsed/>
    <w:rsid w:val="00981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8832">
      <w:bodyDiv w:val="1"/>
      <w:marLeft w:val="0"/>
      <w:marRight w:val="0"/>
      <w:marTop w:val="0"/>
      <w:marBottom w:val="0"/>
      <w:divBdr>
        <w:top w:val="none" w:sz="0" w:space="0" w:color="auto"/>
        <w:left w:val="none" w:sz="0" w:space="0" w:color="auto"/>
        <w:bottom w:val="none" w:sz="0" w:space="0" w:color="auto"/>
        <w:right w:val="none" w:sz="0" w:space="0" w:color="auto"/>
      </w:divBdr>
    </w:div>
    <w:div w:id="1393846551">
      <w:bodyDiv w:val="1"/>
      <w:marLeft w:val="0"/>
      <w:marRight w:val="0"/>
      <w:marTop w:val="0"/>
      <w:marBottom w:val="0"/>
      <w:divBdr>
        <w:top w:val="none" w:sz="0" w:space="0" w:color="auto"/>
        <w:left w:val="none" w:sz="0" w:space="0" w:color="auto"/>
        <w:bottom w:val="none" w:sz="0" w:space="0" w:color="auto"/>
        <w:right w:val="none" w:sz="0" w:space="0" w:color="auto"/>
      </w:divBdr>
    </w:div>
    <w:div w:id="1540586440">
      <w:bodyDiv w:val="1"/>
      <w:marLeft w:val="0"/>
      <w:marRight w:val="0"/>
      <w:marTop w:val="0"/>
      <w:marBottom w:val="0"/>
      <w:divBdr>
        <w:top w:val="none" w:sz="0" w:space="0" w:color="auto"/>
        <w:left w:val="none" w:sz="0" w:space="0" w:color="auto"/>
        <w:bottom w:val="none" w:sz="0" w:space="0" w:color="auto"/>
        <w:right w:val="none" w:sz="0" w:space="0" w:color="auto"/>
      </w:divBdr>
    </w:div>
    <w:div w:id="21279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shirelep.com/news" TargetMode="External"/><Relationship Id="rId5" Type="http://schemas.openxmlformats.org/officeDocument/2006/relationships/footnotes" Target="footnotes.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 Helen - Oxfordshire LEP</dc:creator>
  <cp:keywords/>
  <dc:description/>
  <cp:lastModifiedBy>Brind, Helen - Oxfordshire LEP</cp:lastModifiedBy>
  <cp:revision>1</cp:revision>
  <dcterms:created xsi:type="dcterms:W3CDTF">2022-03-29T10:15:00Z</dcterms:created>
  <dcterms:modified xsi:type="dcterms:W3CDTF">2022-03-29T11:03:00Z</dcterms:modified>
</cp:coreProperties>
</file>